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155" w:rsidRPr="00AF3728" w:rsidRDefault="00E33155" w:rsidP="00E33155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AF3728">
        <w:rPr>
          <w:rFonts w:ascii="Times New Roman" w:hAnsi="Times New Roman" w:cs="Times New Roman"/>
        </w:rPr>
        <w:t>Tabela 1 – Taxas de Mortalidade Infantil (TMI) e Índice de Desenvolvimento Humano Municipal (IDHM), segundo Brasil, Grandes regiões e Unidades da Federação - 2000/2010</w:t>
      </w:r>
      <w:bookmarkStart w:id="0" w:name="_GoBack"/>
      <w:bookmarkEnd w:id="0"/>
    </w:p>
    <w:p w:rsidR="00E33155" w:rsidRPr="00AF3728" w:rsidRDefault="00E33155" w:rsidP="00E33155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</w:p>
    <w:tbl>
      <w:tblPr>
        <w:tblW w:w="89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4"/>
        <w:gridCol w:w="1710"/>
        <w:gridCol w:w="1710"/>
        <w:gridCol w:w="1600"/>
        <w:gridCol w:w="1600"/>
      </w:tblGrid>
      <w:tr w:rsidR="00E33155" w:rsidRPr="00AF3728" w:rsidTr="00996F67">
        <w:trPr>
          <w:trHeight w:val="414"/>
        </w:trPr>
        <w:tc>
          <w:tcPr>
            <w:tcW w:w="234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Grandes Regiões e Unidades da Federação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 xml:space="preserve">TMI ‰ 2000 </w:t>
            </w: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vertAlign w:val="superscript"/>
                <w:lang w:eastAsia="pt-BR"/>
              </w:rPr>
              <w:t>(1)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 xml:space="preserve">TMI ‰ 2010 </w:t>
            </w: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vertAlign w:val="superscript"/>
                <w:lang w:eastAsia="pt-BR"/>
              </w:rPr>
              <w:t>(1)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 xml:space="preserve">IDHM 2000 </w:t>
            </w: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vertAlign w:val="superscript"/>
                <w:lang w:eastAsia="pt-BR"/>
              </w:rPr>
              <w:t>(2)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 xml:space="preserve">IDHM 2010 </w:t>
            </w: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vertAlign w:val="superscript"/>
                <w:lang w:eastAsia="pt-BR"/>
              </w:rPr>
              <w:t>(2)</w:t>
            </w:r>
          </w:p>
        </w:tc>
      </w:tr>
      <w:tr w:rsidR="00E33155" w:rsidRPr="00AF3728" w:rsidTr="00996F67">
        <w:trPr>
          <w:trHeight w:val="414"/>
        </w:trPr>
        <w:tc>
          <w:tcPr>
            <w:tcW w:w="234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</w:p>
        </w:tc>
        <w:tc>
          <w:tcPr>
            <w:tcW w:w="171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</w:p>
        </w:tc>
        <w:tc>
          <w:tcPr>
            <w:tcW w:w="171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</w:p>
        </w:tc>
        <w:tc>
          <w:tcPr>
            <w:tcW w:w="16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</w:p>
        </w:tc>
        <w:tc>
          <w:tcPr>
            <w:tcW w:w="16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</w:p>
        </w:tc>
      </w:tr>
      <w:tr w:rsidR="00E33155" w:rsidRPr="00AF3728" w:rsidTr="00996F67">
        <w:trPr>
          <w:trHeight w:val="315"/>
        </w:trPr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  <w:t>Brasil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  <w:t>26,10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  <w:t>16,00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  <w:t>0,612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  <w:t>0,727</w:t>
            </w:r>
          </w:p>
        </w:tc>
      </w:tr>
      <w:tr w:rsidR="00E33155" w:rsidRPr="00AF3728" w:rsidTr="00996F67">
        <w:trPr>
          <w:trHeight w:val="315"/>
        </w:trPr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  <w:t xml:space="preserve">      Norte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  <w:t>32,80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  <w:t>20,97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  <w:t>0,527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  <w:t>0,667</w:t>
            </w:r>
          </w:p>
        </w:tc>
      </w:tr>
      <w:tr w:rsidR="00E33155" w:rsidRPr="00AF3728" w:rsidTr="00996F67">
        <w:trPr>
          <w:trHeight w:val="315"/>
        </w:trPr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Acre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29,20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20,42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0,517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0,663</w:t>
            </w:r>
          </w:p>
        </w:tc>
      </w:tr>
      <w:tr w:rsidR="00E33155" w:rsidRPr="00AF3728" w:rsidTr="00996F67">
        <w:trPr>
          <w:trHeight w:val="315"/>
        </w:trPr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Amazonas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34,80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20,57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0,515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0,674</w:t>
            </w:r>
          </w:p>
        </w:tc>
      </w:tr>
      <w:tr w:rsidR="00E33155" w:rsidRPr="00AF3728" w:rsidTr="00996F67">
        <w:trPr>
          <w:trHeight w:val="315"/>
        </w:trPr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Amapá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32,87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25,41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0,577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0,708</w:t>
            </w:r>
          </w:p>
        </w:tc>
      </w:tr>
      <w:tr w:rsidR="00E33155" w:rsidRPr="00AF3728" w:rsidTr="00996F67">
        <w:trPr>
          <w:trHeight w:val="315"/>
        </w:trPr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Pará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32,30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21,46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0,518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0,646</w:t>
            </w:r>
          </w:p>
        </w:tc>
      </w:tr>
      <w:tr w:rsidR="00E33155" w:rsidRPr="00AF3728" w:rsidTr="00996F67">
        <w:trPr>
          <w:trHeight w:val="315"/>
        </w:trPr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Rondônia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31,94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18,92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0,537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0,690</w:t>
            </w:r>
          </w:p>
        </w:tc>
      </w:tr>
      <w:tr w:rsidR="00E33155" w:rsidRPr="00AF3728" w:rsidTr="00996F67">
        <w:trPr>
          <w:trHeight w:val="315"/>
        </w:trPr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Roraima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22,22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18,00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0,598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0,707</w:t>
            </w:r>
          </w:p>
        </w:tc>
      </w:tr>
      <w:tr w:rsidR="00E33155" w:rsidRPr="00AF3728" w:rsidTr="00996F67">
        <w:trPr>
          <w:trHeight w:val="315"/>
        </w:trPr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Tocantins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36,92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20,45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0,525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0,699</w:t>
            </w:r>
          </w:p>
        </w:tc>
      </w:tr>
      <w:tr w:rsidR="00E33155" w:rsidRPr="00AF3728" w:rsidTr="00996F67">
        <w:trPr>
          <w:trHeight w:val="315"/>
        </w:trPr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  <w:t xml:space="preserve">     Nordeste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  <w:t>35,93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  <w:t>19,09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  <w:t>0,516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  <w:t>0,663</w:t>
            </w:r>
          </w:p>
        </w:tc>
      </w:tr>
      <w:tr w:rsidR="00E33155" w:rsidRPr="00AF3728" w:rsidTr="00996F67">
        <w:trPr>
          <w:trHeight w:val="315"/>
        </w:trPr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Alagoas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37,70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18,58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0,471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0,631</w:t>
            </w:r>
          </w:p>
        </w:tc>
      </w:tr>
      <w:tr w:rsidR="00E33155" w:rsidRPr="00AF3728" w:rsidTr="00996F67">
        <w:trPr>
          <w:trHeight w:val="315"/>
        </w:trPr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Bahia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34,56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21,04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0,512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0,660</w:t>
            </w:r>
          </w:p>
        </w:tc>
      </w:tr>
      <w:tr w:rsidR="00E33155" w:rsidRPr="00AF3728" w:rsidTr="00996F67">
        <w:trPr>
          <w:trHeight w:val="315"/>
        </w:trPr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Ceará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36,79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16,23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0,541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0,682</w:t>
            </w:r>
          </w:p>
        </w:tc>
      </w:tr>
      <w:tr w:rsidR="00E33155" w:rsidRPr="00AF3728" w:rsidTr="00996F67">
        <w:trPr>
          <w:trHeight w:val="315"/>
        </w:trPr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Maranhão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36,80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21,88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0,476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0,639</w:t>
            </w:r>
          </w:p>
        </w:tc>
      </w:tr>
      <w:tr w:rsidR="00E33155" w:rsidRPr="00AF3728" w:rsidTr="00996F67">
        <w:trPr>
          <w:trHeight w:val="315"/>
        </w:trPr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Paraíba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39,16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18,19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0,506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0,658</w:t>
            </w:r>
          </w:p>
        </w:tc>
      </w:tr>
      <w:tr w:rsidR="00E33155" w:rsidRPr="00AF3728" w:rsidTr="00996F67">
        <w:trPr>
          <w:trHeight w:val="315"/>
        </w:trPr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Pernambuco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33,96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17,04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0,544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0,673</w:t>
            </w:r>
          </w:p>
        </w:tc>
      </w:tr>
      <w:tr w:rsidR="00E33155" w:rsidRPr="00AF3728" w:rsidTr="00996F67">
        <w:trPr>
          <w:trHeight w:val="315"/>
        </w:trPr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Piauí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37,79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20,70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0,484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0,646</w:t>
            </w:r>
          </w:p>
        </w:tc>
      </w:tr>
      <w:tr w:rsidR="00E33155" w:rsidRPr="00AF3728" w:rsidTr="00996F67">
        <w:trPr>
          <w:trHeight w:val="315"/>
        </w:trPr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Rio grande do Norte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34,47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17,23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0,552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0,684</w:t>
            </w:r>
          </w:p>
        </w:tc>
      </w:tr>
      <w:tr w:rsidR="00E33155" w:rsidRPr="00AF3728" w:rsidTr="00996F67">
        <w:trPr>
          <w:trHeight w:val="315"/>
        </w:trPr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Sergipe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37,65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18,17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0,518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0,665</w:t>
            </w:r>
          </w:p>
        </w:tc>
      </w:tr>
      <w:tr w:rsidR="00E33155" w:rsidRPr="00AF3728" w:rsidTr="00996F67">
        <w:trPr>
          <w:trHeight w:val="315"/>
        </w:trPr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  <w:t xml:space="preserve">     Centro-Oeste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  <w:t>22,32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  <w:t>15,93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  <w:t>0,639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  <w:t>0,757</w:t>
            </w:r>
          </w:p>
        </w:tc>
      </w:tr>
      <w:tr w:rsidR="00E33155" w:rsidRPr="00AF3728" w:rsidTr="00996F67">
        <w:trPr>
          <w:trHeight w:val="315"/>
        </w:trPr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Distrito federal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15,27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12,16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0,725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0,824</w:t>
            </w:r>
          </w:p>
        </w:tc>
      </w:tr>
      <w:tr w:rsidR="00E33155" w:rsidRPr="00AF3728" w:rsidTr="00996F67">
        <w:trPr>
          <w:trHeight w:val="315"/>
        </w:trPr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Goiás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21,21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15,89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0,615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0,735</w:t>
            </w:r>
          </w:p>
        </w:tc>
      </w:tr>
      <w:tr w:rsidR="00E33155" w:rsidRPr="00AF3728" w:rsidTr="00996F67">
        <w:trPr>
          <w:trHeight w:val="315"/>
        </w:trPr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Mato Grosso do Sul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24,37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15,44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0,613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0,729</w:t>
            </w:r>
          </w:p>
        </w:tc>
      </w:tr>
      <w:tr w:rsidR="00E33155" w:rsidRPr="00AF3728" w:rsidTr="00996F67">
        <w:trPr>
          <w:trHeight w:val="315"/>
        </w:trPr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Mato Grosso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29,38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19,55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0,601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0,725</w:t>
            </w:r>
          </w:p>
        </w:tc>
      </w:tr>
      <w:tr w:rsidR="00E33155" w:rsidRPr="00AF3728" w:rsidTr="00996F67">
        <w:trPr>
          <w:trHeight w:val="315"/>
        </w:trPr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  <w:t xml:space="preserve">     Sudeste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  <w:t>20,09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  <w:t>13,43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  <w:t>0,676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  <w:t>0,766</w:t>
            </w:r>
          </w:p>
        </w:tc>
      </w:tr>
      <w:tr w:rsidR="00E33155" w:rsidRPr="00AF3728" w:rsidTr="00996F67">
        <w:trPr>
          <w:trHeight w:val="315"/>
        </w:trPr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Espírito Santo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18,13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11,91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0,640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0,740</w:t>
            </w:r>
          </w:p>
        </w:tc>
      </w:tr>
      <w:tr w:rsidR="00E33155" w:rsidRPr="00AF3728" w:rsidTr="00996F67">
        <w:trPr>
          <w:trHeight w:val="315"/>
        </w:trPr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Minas Gerais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25,73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16,16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0,624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0,731</w:t>
            </w:r>
          </w:p>
        </w:tc>
      </w:tr>
      <w:tr w:rsidR="00E33155" w:rsidRPr="00AF3728" w:rsidTr="00996F67">
        <w:trPr>
          <w:trHeight w:val="315"/>
        </w:trPr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Rio de Janeiro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20,50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14,31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0,664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0,761</w:t>
            </w:r>
          </w:p>
        </w:tc>
      </w:tr>
      <w:tr w:rsidR="00E33155" w:rsidRPr="00AF3728" w:rsidTr="00996F67">
        <w:trPr>
          <w:trHeight w:val="315"/>
        </w:trPr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São Paulo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17,37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12,04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0,702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0,783</w:t>
            </w:r>
          </w:p>
        </w:tc>
      </w:tr>
      <w:tr w:rsidR="00E33155" w:rsidRPr="00AF3728" w:rsidTr="00996F67">
        <w:trPr>
          <w:trHeight w:val="315"/>
        </w:trPr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  <w:t xml:space="preserve">     Sul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  <w:t>16,92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  <w:t>11,58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  <w:t>0,660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  <w:t>0,754</w:t>
            </w:r>
          </w:p>
        </w:tc>
      </w:tr>
      <w:tr w:rsidR="00E33155" w:rsidRPr="00AF3728" w:rsidTr="00996F67">
        <w:trPr>
          <w:trHeight w:val="315"/>
        </w:trPr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Paraná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19,02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12,03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0,650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0,749</w:t>
            </w:r>
          </w:p>
        </w:tc>
      </w:tr>
      <w:tr w:rsidR="00E33155" w:rsidRPr="00AF3728" w:rsidTr="00996F67">
        <w:trPr>
          <w:trHeight w:val="315"/>
        </w:trPr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Rio Grande do Sul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15,33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11,33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0,664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0,746</w:t>
            </w:r>
          </w:p>
        </w:tc>
      </w:tr>
      <w:tr w:rsidR="00E33155" w:rsidRPr="00AF3728" w:rsidTr="00996F67">
        <w:trPr>
          <w:trHeight w:val="315"/>
        </w:trPr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Santa Catarina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15,90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11,18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0,674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155" w:rsidRPr="00AF3728" w:rsidRDefault="00E33155" w:rsidP="00996F6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F37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0,774</w:t>
            </w:r>
          </w:p>
        </w:tc>
      </w:tr>
    </w:tbl>
    <w:p w:rsidR="0056798A" w:rsidRPr="00E33155" w:rsidRDefault="00E33155" w:rsidP="00E33155">
      <w:pPr>
        <w:pStyle w:val="Standard"/>
        <w:jc w:val="both"/>
        <w:rPr>
          <w:rFonts w:ascii="Times New Roman" w:hAnsi="Times New Roman" w:cs="Times New Roman"/>
        </w:rPr>
      </w:pPr>
      <w:r w:rsidRPr="00AF3728">
        <w:rPr>
          <w:rFonts w:ascii="Times New Roman" w:hAnsi="Times New Roman" w:cs="Times New Roman"/>
          <w:sz w:val="20"/>
          <w:szCs w:val="20"/>
        </w:rPr>
        <w:t>Fonte: (1) (RIPSA, 2012). (2) (PNUD, 2013, 2016).</w:t>
      </w:r>
    </w:p>
    <w:sectPr w:rsidR="0056798A" w:rsidRPr="00E3315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155"/>
    <w:rsid w:val="0056798A"/>
    <w:rsid w:val="009E127B"/>
    <w:rsid w:val="00E33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D7040E-34EB-4E74-ADE9-4A9849169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3155"/>
    <w:pPr>
      <w:suppressAutoHyphens/>
      <w:spacing w:after="200" w:line="276" w:lineRule="auto"/>
    </w:pPr>
    <w:rPr>
      <w:color w:val="00000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E3315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Bianca</dc:creator>
  <cp:keywords/>
  <dc:description/>
  <cp:lastModifiedBy>Bianca</cp:lastModifiedBy>
  <cp:revision>2</cp:revision>
  <dcterms:created xsi:type="dcterms:W3CDTF">2017-04-03T19:30:00Z</dcterms:created>
  <dcterms:modified xsi:type="dcterms:W3CDTF">2017-04-03T19:33:00Z</dcterms:modified>
</cp:coreProperties>
</file>